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9</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18903</w:t>
      </w:r>
    </w:p>
    <w:p>
      <w:pPr>
        <w:tabs>
          <w:tab w:val="left" w:pos="3106"/>
          <w:tab w:val="center" w:pos="4536"/>
          <w:tab w:val="right" w:pos="9072"/>
        </w:tabs>
        <w:jc w:val="both"/>
        <w:rPr>
          <w:rFonts w:ascii="Arial" w:hAnsi="Arial" w:cs="Arial"/>
          <w:b/>
          <w:bCs/>
        </w:rPr>
      </w:pPr>
      <w:bookmarkStart w:id="1" w:name="_Hlk130672791"/>
      <w:r>
        <w:rPr>
          <w:rFonts w:hint="eastAsia" w:ascii="Arial" w:hAnsi="Arial" w:eastAsia="宋体" w:cs="Arial"/>
          <w:b/>
          <w:highlight w:val="none"/>
          <w:lang w:val="en-US" w:eastAsia="zh-CN"/>
        </w:rPr>
        <w:t>Chicago, US, November 13 - 17, 2023</w:t>
      </w:r>
    </w:p>
    <w:bookmarkEnd w:id="1"/>
    <w:p>
      <w:pPr>
        <w:tabs>
          <w:tab w:val="left" w:pos="1985"/>
        </w:tabs>
        <w:rPr>
          <w:b/>
          <w:sz w:val="22"/>
        </w:rPr>
      </w:pPr>
    </w:p>
    <w:p>
      <w:pPr>
        <w:tabs>
          <w:tab w:val="left" w:pos="1765"/>
          <w:tab w:val="center" w:pos="4557"/>
        </w:tabs>
        <w:rPr>
          <w:rFonts w:hint="eastAsia" w:eastAsiaTheme="minorEastAsia"/>
          <w:b/>
          <w:sz w:val="22"/>
          <w:lang w:eastAsia="zh-CN"/>
        </w:rPr>
      </w:pPr>
      <w:r>
        <w:rPr>
          <w:b/>
          <w:sz w:val="22"/>
        </w:rPr>
        <w:t>Agenda Item:</w:t>
      </w:r>
      <w:r>
        <w:rPr>
          <w:b/>
          <w:sz w:val="22"/>
        </w:rPr>
        <w:tab/>
      </w:r>
      <w:r>
        <w:rPr>
          <w:rFonts w:hint="eastAsia"/>
          <w:sz w:val="22"/>
          <w:lang w:val="en-US" w:eastAsia="zh-CN"/>
        </w:rPr>
        <w:t>8</w:t>
      </w:r>
      <w:r>
        <w:rPr>
          <w:sz w:val="22"/>
        </w:rPr>
        <w:t>.1</w:t>
      </w:r>
      <w:r>
        <w:rPr>
          <w:rFonts w:hint="eastAsia"/>
          <w:sz w:val="22"/>
        </w:rPr>
        <w:t>3</w:t>
      </w:r>
      <w:r>
        <w:rPr>
          <w:sz w:val="22"/>
        </w:rPr>
        <w:t>.</w:t>
      </w:r>
      <w:r>
        <w:rPr>
          <w:rFonts w:hint="eastAsia"/>
          <w:sz w:val="22"/>
          <w:lang w:val="en-US" w:eastAsia="zh-CN"/>
        </w:rPr>
        <w:t>6</w:t>
      </w:r>
      <w:r>
        <w:rPr>
          <w:sz w:val="22"/>
        </w:rPr>
        <w:t>.</w:t>
      </w:r>
      <w:r>
        <w:rPr>
          <w:rFonts w:hint="eastAsia"/>
          <w:sz w:val="22"/>
          <w:lang w:val="en-US" w:eastAsia="zh-CN"/>
        </w:rPr>
        <w:t>3</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sz w:val="22"/>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w:t>
      </w:r>
      <w:bookmarkEnd w:id="3"/>
      <w:r>
        <w:rPr>
          <w:rFonts w:hint="eastAsia"/>
          <w:sz w:val="22"/>
        </w:rPr>
        <w:t>Discussion on timing requirements maintenance for ATG</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sz w:val="20"/>
          <w:szCs w:val="20"/>
        </w:rPr>
        <w:t>In this contribution, we discuss</w:t>
      </w:r>
      <w:r>
        <w:rPr>
          <w:rFonts w:hint="eastAsia"/>
          <w:sz w:val="20"/>
          <w:szCs w:val="20"/>
        </w:rPr>
        <w:t xml:space="preserve"> </w:t>
      </w:r>
      <w:r>
        <w:rPr>
          <w:rFonts w:hint="eastAsia"/>
          <w:sz w:val="20"/>
          <w:szCs w:val="20"/>
          <w:lang w:val="en-US" w:eastAsia="zh-CN"/>
        </w:rPr>
        <w:t>the k</w:t>
      </w:r>
      <w:r>
        <w:rPr>
          <w:rFonts w:hint="eastAsia"/>
          <w:sz w:val="20"/>
          <w:szCs w:val="20"/>
          <w:vertAlign w:val="subscript"/>
          <w:lang w:val="en-US" w:eastAsia="zh-CN"/>
        </w:rPr>
        <w:t>offset</w:t>
      </w:r>
      <w:r>
        <w:rPr>
          <w:rFonts w:hint="eastAsia"/>
          <w:sz w:val="20"/>
          <w:szCs w:val="20"/>
          <w:lang w:val="en-US" w:eastAsia="zh-CN"/>
        </w:rPr>
        <w:t xml:space="preserve"> mechanism which applied for ATG.</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lang w:val="en-US" w:eastAsia="zh-CN"/>
        </w:rPr>
        <w:t>Discussion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宋体"/>
          <w:b w:val="0"/>
          <w:bCs w:val="0"/>
          <w:kern w:val="0"/>
          <w:sz w:val="20"/>
          <w:szCs w:val="20"/>
          <w:vertAlign w:val="baseline"/>
          <w:lang w:val="en-US" w:eastAsia="zh-CN"/>
        </w:rPr>
      </w:pPr>
      <w:r>
        <w:rPr>
          <w:rStyle w:val="23"/>
          <w:rFonts w:hint="eastAsia" w:eastAsia="宋体"/>
          <w:b w:val="0"/>
          <w:bCs w:val="0"/>
          <w:kern w:val="0"/>
          <w:sz w:val="20"/>
          <w:szCs w:val="20"/>
          <w:lang w:val="en-US" w:eastAsia="zh-CN"/>
        </w:rPr>
        <w:t>In RAN4#106, RAN4 achieved the agreement about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lang w:val="en-US" w:eastAsia="zh-CN"/>
        </w:rPr>
        <w:t xml:space="preserve"> as following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pPr>
              <w:rPr>
                <w:rFonts w:eastAsia="Malgun Gothic"/>
                <w:b/>
                <w:sz w:val="20"/>
                <w:szCs w:val="20"/>
                <w:u w:val="single"/>
                <w:vertAlign w:val="subscript"/>
                <w:lang w:val="en-GB" w:eastAsia="ko-KR"/>
              </w:rPr>
            </w:pPr>
            <w:r>
              <w:rPr>
                <w:rFonts w:eastAsia="Malgun Gothic"/>
                <w:b/>
                <w:sz w:val="20"/>
                <w:szCs w:val="20"/>
                <w:u w:val="single"/>
                <w:lang w:val="en-GB" w:eastAsia="ko-KR"/>
              </w:rPr>
              <w:t>Issue 3-1-5: The mechanism of K</w:t>
            </w:r>
            <w:r>
              <w:rPr>
                <w:rFonts w:eastAsia="Malgun Gothic"/>
                <w:b/>
                <w:sz w:val="20"/>
                <w:szCs w:val="20"/>
                <w:u w:val="single"/>
                <w:vertAlign w:val="subscript"/>
                <w:lang w:val="en-GB" w:eastAsia="ko-KR"/>
              </w:rPr>
              <w:t>offset</w:t>
            </w:r>
          </w:p>
          <w:p>
            <w:pPr>
              <w:spacing w:after="60"/>
              <w:rPr>
                <w:rFonts w:eastAsiaTheme="minorEastAsia"/>
                <w:iCs/>
                <w:sz w:val="20"/>
                <w:szCs w:val="20"/>
              </w:rPr>
            </w:pPr>
            <w:r>
              <w:rPr>
                <w:rFonts w:eastAsiaTheme="minorEastAsia"/>
                <w:iCs/>
                <w:sz w:val="20"/>
                <w:szCs w:val="20"/>
              </w:rPr>
              <w:t>Agreement</w:t>
            </w:r>
          </w:p>
          <w:p>
            <w:pPr>
              <w:pStyle w:val="74"/>
              <w:numPr>
                <w:ilvl w:val="0"/>
                <w:numId w:val="4"/>
              </w:numPr>
              <w:spacing w:after="120"/>
              <w:ind w:hanging="357" w:firstLineChars="0"/>
              <w:rPr>
                <w:rStyle w:val="23"/>
                <w:rFonts w:hint="eastAsia" w:eastAsia="宋体"/>
                <w:b w:val="0"/>
                <w:bCs w:val="0"/>
                <w:kern w:val="0"/>
                <w:sz w:val="20"/>
                <w:szCs w:val="20"/>
                <w:vertAlign w:val="baseline"/>
                <w:lang w:val="en-US" w:eastAsia="zh-CN"/>
              </w:rPr>
            </w:pPr>
            <w:r>
              <w:rPr>
                <w:rFonts w:eastAsia="宋体" w:cs="Times New Roman"/>
                <w:sz w:val="20"/>
                <w:szCs w:val="20"/>
              </w:rPr>
              <w:t>Introduce the mechanism of K</w:t>
            </w:r>
            <w:r>
              <w:rPr>
                <w:rFonts w:eastAsia="宋体" w:cs="Times New Roman"/>
                <w:sz w:val="20"/>
                <w:szCs w:val="20"/>
                <w:vertAlign w:val="subscript"/>
              </w:rPr>
              <w:t>offset</w:t>
            </w:r>
            <w:r>
              <w:rPr>
                <w:rFonts w:eastAsia="宋体" w:cs="Times New Roman"/>
                <w:sz w:val="20"/>
                <w:szCs w:val="20"/>
              </w:rPr>
              <w:t xml:space="preserve"> in ATG system, whether and how to configure K</w:t>
            </w:r>
            <w:r>
              <w:rPr>
                <w:rFonts w:eastAsia="宋体" w:cs="Times New Roman"/>
                <w:sz w:val="20"/>
                <w:szCs w:val="20"/>
                <w:vertAlign w:val="subscript"/>
              </w:rPr>
              <w:t>offset</w:t>
            </w:r>
            <w:r>
              <w:rPr>
                <w:rFonts w:eastAsia="宋体" w:cs="Times New Roman"/>
                <w:sz w:val="20"/>
                <w:szCs w:val="20"/>
              </w:rPr>
              <w:t xml:space="preserve"> is up to network implementation.</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宋体"/>
          <w:b w:val="0"/>
          <w:bCs w:val="0"/>
          <w:kern w:val="0"/>
          <w:sz w:val="20"/>
          <w:szCs w:val="20"/>
          <w:lang w:val="en-US" w:eastAsia="zh-CN"/>
        </w:rPr>
      </w:pPr>
      <w:r>
        <w:rPr>
          <w:rStyle w:val="23"/>
          <w:rFonts w:hint="eastAsia" w:eastAsia="宋体"/>
          <w:b w:val="0"/>
          <w:bCs w:val="0"/>
          <w:kern w:val="0"/>
          <w:sz w:val="20"/>
          <w:szCs w:val="20"/>
          <w:lang w:val="en-US" w:eastAsia="zh-CN"/>
        </w:rPr>
        <w:t>In RAN4#107, RAN4 sent the LS to RAN2 to introduce the signalling of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lang w:val="en-US" w:eastAsia="zh-CN"/>
        </w:rPr>
        <w:t xml:space="preserve"> [2].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宋体"/>
                <w:b w:val="0"/>
                <w:bCs w:val="0"/>
                <w:kern w:val="0"/>
                <w:sz w:val="20"/>
                <w:szCs w:val="20"/>
                <w:vertAlign w:val="baseline"/>
                <w:lang w:val="en-US" w:eastAsia="zh-CN"/>
              </w:rPr>
            </w:pPr>
            <w:r>
              <w:rPr>
                <w:rStyle w:val="23"/>
                <w:rFonts w:hint="eastAsia" w:eastAsia="宋体"/>
                <w:b w:val="0"/>
                <w:bCs w:val="0"/>
                <w:kern w:val="0"/>
                <w:sz w:val="20"/>
                <w:szCs w:val="20"/>
                <w:vertAlign w:val="baseline"/>
                <w:lang w:val="en-US" w:eastAsia="zh-CN"/>
              </w:rPr>
              <w:t xml:space="preserve">In addition, RAN4 would like to respectfully inform RAN2 that RAN4 has agreed to </w:t>
            </w:r>
            <w:r>
              <w:rPr>
                <w:rStyle w:val="23"/>
                <w:rFonts w:hint="eastAsia" w:eastAsia="宋体"/>
                <w:b w:val="0"/>
                <w:bCs w:val="0"/>
                <w:kern w:val="0"/>
                <w:sz w:val="20"/>
                <w:szCs w:val="20"/>
                <w:highlight w:val="yellow"/>
                <w:vertAlign w:val="baseline"/>
                <w:lang w:val="en-US" w:eastAsia="zh-CN"/>
              </w:rPr>
              <w:t>introduce the mechanism of koffset in ATG system as NTN,</w:t>
            </w:r>
            <w:r>
              <w:rPr>
                <w:rStyle w:val="23"/>
                <w:rFonts w:hint="eastAsia" w:eastAsia="宋体"/>
                <w:b w:val="0"/>
                <w:bCs w:val="0"/>
                <w:kern w:val="0"/>
                <w:sz w:val="20"/>
                <w:szCs w:val="20"/>
                <w:vertAlign w:val="baseline"/>
                <w:lang w:val="en-US" w:eastAsia="zh-CN"/>
              </w:rPr>
              <w:t xml:space="preserve"> whether and how to configure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vertAlign w:val="baseline"/>
                <w:lang w:val="en-US" w:eastAsia="zh-CN"/>
              </w:rPr>
              <w:t xml:space="preserve"> is up to network implementation. RAN4 kindly asks RAN2 to take this information into account when considering the applicability of SIB19 for ATG and design corresponding signaling for it.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宋体"/>
                <w:b w:val="0"/>
                <w:bCs w:val="0"/>
                <w:kern w:val="0"/>
                <w:sz w:val="20"/>
                <w:szCs w:val="20"/>
                <w:vertAlign w:val="baseline"/>
                <w:lang w:val="en-US" w:eastAsia="zh-CN"/>
              </w:rPr>
            </w:pPr>
            <w:r>
              <w:rPr>
                <w:rStyle w:val="23"/>
                <w:rFonts w:hint="eastAsia" w:eastAsia="宋体"/>
                <w:b w:val="0"/>
                <w:bCs w:val="0"/>
                <w:kern w:val="0"/>
                <w:sz w:val="20"/>
                <w:szCs w:val="20"/>
                <w:vertAlign w:val="baseline"/>
                <w:lang w:val="en-US" w:eastAsia="zh-CN"/>
              </w:rPr>
              <w:t>RAN4 kindly asks RAN2 to take the above information into account.</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宋体"/>
          <w:b w:val="0"/>
          <w:bCs w:val="0"/>
          <w:kern w:val="0"/>
          <w:sz w:val="20"/>
          <w:szCs w:val="20"/>
          <w:lang w:val="en-US" w:eastAsia="zh-CN"/>
        </w:rPr>
      </w:pPr>
      <w:r>
        <w:rPr>
          <w:rStyle w:val="23"/>
          <w:rFonts w:hint="eastAsia" w:eastAsia="宋体"/>
          <w:b w:val="0"/>
          <w:bCs w:val="0"/>
          <w:kern w:val="0"/>
          <w:sz w:val="20"/>
          <w:szCs w:val="20"/>
          <w:lang w:val="en-US" w:eastAsia="zh-CN"/>
        </w:rPr>
        <w:t>During the discussion in RAN2#123 and 123bis, RAN2 discussed about whether to introduce the UE-specific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lang w:val="en-US" w:eastAsia="zh-CN"/>
        </w:rPr>
        <w:t xml:space="preserve"> due to there is no explicit indication of whether to introduce it or not in the LS. The following agreement was achieved in RAN2#123bis [3].</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宋体"/>
                <w:b w:val="0"/>
                <w:bCs w:val="0"/>
                <w:kern w:val="0"/>
                <w:sz w:val="20"/>
                <w:szCs w:val="20"/>
                <w:vertAlign w:val="baseline"/>
                <w:lang w:val="en-US" w:eastAsia="zh-CN"/>
              </w:rPr>
            </w:pPr>
            <w:r>
              <w:rPr>
                <w:rStyle w:val="23"/>
                <w:rFonts w:hint="eastAsia" w:eastAsia="宋体"/>
                <w:b w:val="0"/>
                <w:bCs w:val="0"/>
                <w:kern w:val="0"/>
                <w:sz w:val="20"/>
                <w:szCs w:val="20"/>
                <w:vertAlign w:val="baseline"/>
                <w:lang w:val="en-US" w:eastAsia="zh-CN"/>
              </w:rPr>
              <w:t>RAN2 enables the signalling to provide cell-specific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vertAlign w:val="baseline"/>
                <w:lang w:val="en-US" w:eastAsia="zh-CN"/>
              </w:rPr>
              <w:t xml:space="preserve"> for ATG purposes.  FFS for UE specific k</w:t>
            </w:r>
            <w:r>
              <w:rPr>
                <w:rStyle w:val="23"/>
                <w:rFonts w:hint="eastAsia" w:eastAsia="宋体"/>
                <w:b w:val="0"/>
                <w:bCs w:val="0"/>
                <w:kern w:val="0"/>
                <w:sz w:val="20"/>
                <w:szCs w:val="20"/>
                <w:vertAlign w:val="subscript"/>
                <w:lang w:val="en-US" w:eastAsia="zh-CN"/>
              </w:rPr>
              <w:t xml:space="preserve">offset </w:t>
            </w:r>
            <w:r>
              <w:rPr>
                <w:rStyle w:val="23"/>
                <w:rFonts w:hint="eastAsia" w:eastAsia="宋体"/>
                <w:b w:val="0"/>
                <w:bCs w:val="0"/>
                <w:kern w:val="0"/>
                <w:sz w:val="20"/>
                <w:szCs w:val="20"/>
                <w:vertAlign w:val="baseline"/>
                <w:lang w:val="en-US" w:eastAsia="zh-CN"/>
              </w:rPr>
              <w:t xml:space="preserve">pending RAN1 input.   FFS on value ranges’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default" w:eastAsia="宋体"/>
          <w:b w:val="0"/>
          <w:bCs w:val="0"/>
          <w:kern w:val="0"/>
          <w:sz w:val="20"/>
          <w:szCs w:val="20"/>
          <w:lang w:val="en-US" w:eastAsia="zh-CN"/>
        </w:rPr>
      </w:pPr>
      <w:r>
        <w:rPr>
          <w:rStyle w:val="23"/>
          <w:rFonts w:hint="eastAsia" w:eastAsia="宋体"/>
          <w:b w:val="0"/>
          <w:bCs w:val="0"/>
          <w:kern w:val="0"/>
          <w:sz w:val="20"/>
          <w:szCs w:val="20"/>
          <w:lang w:val="en-US" w:eastAsia="zh-CN"/>
        </w:rPr>
        <w:t>However, due to RAN1 doesn</w:t>
      </w:r>
      <w:r>
        <w:rPr>
          <w:rStyle w:val="23"/>
          <w:rFonts w:hint="default" w:eastAsia="宋体"/>
          <w:b w:val="0"/>
          <w:bCs w:val="0"/>
          <w:kern w:val="0"/>
          <w:sz w:val="20"/>
          <w:szCs w:val="20"/>
          <w:lang w:val="en-US" w:eastAsia="zh-CN"/>
        </w:rPr>
        <w:t>’</w:t>
      </w:r>
      <w:r>
        <w:rPr>
          <w:rStyle w:val="23"/>
          <w:rFonts w:hint="eastAsia" w:eastAsia="宋体"/>
          <w:b w:val="0"/>
          <w:bCs w:val="0"/>
          <w:kern w:val="0"/>
          <w:sz w:val="20"/>
          <w:szCs w:val="20"/>
          <w:lang w:val="en-US" w:eastAsia="zh-CN"/>
        </w:rPr>
        <w:t>t have regular TU for ATG discussion, and the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lang w:val="en-US" w:eastAsia="zh-CN"/>
        </w:rPr>
        <w:t xml:space="preserve"> has been discussed in RAN4. We think RAN4 should take the responsibility of further clarifying whether to introduce the UE-specific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vertAlign w:val="baseli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宋体"/>
          <w:b w:val="0"/>
          <w:bCs w:val="0"/>
          <w:kern w:val="0"/>
          <w:sz w:val="20"/>
          <w:szCs w:val="20"/>
          <w:lang w:val="en-US" w:eastAsia="zh-CN"/>
        </w:rPr>
      </w:pPr>
      <w:r>
        <w:rPr>
          <w:rStyle w:val="23"/>
          <w:rFonts w:hint="eastAsia" w:eastAsia="宋体"/>
          <w:b w:val="0"/>
          <w:bCs w:val="0"/>
          <w:kern w:val="0"/>
          <w:sz w:val="20"/>
          <w:szCs w:val="20"/>
          <w:lang w:val="en-US" w:eastAsia="zh-CN"/>
        </w:rPr>
        <w:t>Based on our understanding of the agreement in RAN4#106, the mechanism of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lang w:val="en-US" w:eastAsia="zh-CN"/>
        </w:rPr>
        <w:t xml:space="preserve"> means the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vertAlign w:val="baseline"/>
          <w:lang w:val="en-US" w:eastAsia="zh-CN"/>
        </w:rPr>
        <w:t xml:space="preserve"> </w:t>
      </w:r>
      <w:r>
        <w:rPr>
          <w:rStyle w:val="23"/>
          <w:rFonts w:hint="eastAsia" w:eastAsia="宋体"/>
          <w:b w:val="0"/>
          <w:bCs w:val="0"/>
          <w:kern w:val="0"/>
          <w:sz w:val="20"/>
          <w:szCs w:val="20"/>
          <w:lang w:val="en-US" w:eastAsia="zh-CN"/>
        </w:rPr>
        <w:t>mechanism in R17-NTN WI, which is also pointed in the LS to RAN2, as highlight part above. The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lang w:val="en-US" w:eastAsia="zh-CN"/>
        </w:rPr>
        <w:t xml:space="preserve"> mechanism in R17-NTN WI including both cell-specific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lang w:val="en-US" w:eastAsia="zh-CN"/>
        </w:rPr>
        <w:t xml:space="preserve"> and UE-specific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宋体"/>
          <w:b w:val="0"/>
          <w:bCs w:val="0"/>
          <w:kern w:val="0"/>
          <w:sz w:val="20"/>
          <w:szCs w:val="20"/>
          <w:lang w:val="en-US" w:eastAsia="zh-CN"/>
        </w:rPr>
      </w:pPr>
      <w:r>
        <w:rPr>
          <w:rStyle w:val="23"/>
          <w:rFonts w:hint="eastAsia" w:eastAsia="宋体"/>
          <w:b w:val="0"/>
          <w:bCs w:val="0"/>
          <w:kern w:val="0"/>
          <w:sz w:val="20"/>
          <w:szCs w:val="20"/>
          <w:lang w:val="en-US" w:eastAsia="zh-CN"/>
        </w:rPr>
        <w:t>Besides, in RAN4#108, the TA report mechanism is supported[4]. As a consequence, the functionality of UE-specific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lang w:val="en-US" w:eastAsia="zh-CN"/>
        </w:rPr>
        <w:t xml:space="preserve"> can be supported by both network and UE, which could help to optimize the timing relationship.</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宋体"/>
          <w:b/>
          <w:bCs/>
          <w:i/>
          <w:iCs/>
          <w:kern w:val="0"/>
          <w:sz w:val="20"/>
          <w:szCs w:val="20"/>
          <w:lang w:val="en-US" w:eastAsia="zh-CN"/>
        </w:rPr>
      </w:pPr>
      <w:r>
        <w:rPr>
          <w:rStyle w:val="23"/>
          <w:rFonts w:hint="eastAsia" w:eastAsia="宋体"/>
          <w:b/>
          <w:bCs/>
          <w:i/>
          <w:iCs/>
          <w:kern w:val="0"/>
          <w:sz w:val="20"/>
          <w:szCs w:val="20"/>
          <w:lang w:val="en-US" w:eastAsia="zh-CN"/>
        </w:rPr>
        <w:t>Proposal 1: The k</w:t>
      </w:r>
      <w:r>
        <w:rPr>
          <w:rStyle w:val="23"/>
          <w:rFonts w:hint="eastAsia" w:eastAsia="宋体"/>
          <w:b/>
          <w:bCs/>
          <w:i/>
          <w:iCs/>
          <w:kern w:val="0"/>
          <w:sz w:val="20"/>
          <w:szCs w:val="20"/>
          <w:vertAlign w:val="subscript"/>
          <w:lang w:val="en-US" w:eastAsia="zh-CN"/>
        </w:rPr>
        <w:t>offset</w:t>
      </w:r>
      <w:r>
        <w:rPr>
          <w:rStyle w:val="23"/>
          <w:rFonts w:hint="eastAsia" w:eastAsia="宋体"/>
          <w:b/>
          <w:bCs/>
          <w:i/>
          <w:iCs/>
          <w:kern w:val="0"/>
          <w:sz w:val="20"/>
          <w:szCs w:val="20"/>
          <w:lang w:val="en-US" w:eastAsia="zh-CN"/>
        </w:rPr>
        <w:t xml:space="preserve"> mechanism as R17 NTN including both cell-specific k</w:t>
      </w:r>
      <w:r>
        <w:rPr>
          <w:rStyle w:val="23"/>
          <w:rFonts w:hint="eastAsia" w:eastAsia="宋体"/>
          <w:b/>
          <w:bCs/>
          <w:i/>
          <w:iCs/>
          <w:kern w:val="0"/>
          <w:sz w:val="20"/>
          <w:szCs w:val="20"/>
          <w:vertAlign w:val="subscript"/>
          <w:lang w:val="en-US" w:eastAsia="zh-CN"/>
        </w:rPr>
        <w:t xml:space="preserve">offset </w:t>
      </w:r>
      <w:r>
        <w:rPr>
          <w:rStyle w:val="23"/>
          <w:rFonts w:hint="eastAsia" w:eastAsia="宋体"/>
          <w:b/>
          <w:bCs/>
          <w:i/>
          <w:iCs/>
          <w:kern w:val="0"/>
          <w:sz w:val="20"/>
          <w:szCs w:val="20"/>
          <w:lang w:val="en-US" w:eastAsia="zh-CN"/>
        </w:rPr>
        <w:t>and UE-specific k</w:t>
      </w:r>
      <w:r>
        <w:rPr>
          <w:rStyle w:val="23"/>
          <w:rFonts w:hint="eastAsia" w:eastAsia="宋体"/>
          <w:b/>
          <w:bCs/>
          <w:i/>
          <w:iCs/>
          <w:kern w:val="0"/>
          <w:sz w:val="20"/>
          <w:szCs w:val="20"/>
          <w:vertAlign w:val="subscript"/>
          <w:lang w:val="en-US" w:eastAsia="zh-CN"/>
        </w:rPr>
        <w:t>offset</w:t>
      </w:r>
      <w:r>
        <w:rPr>
          <w:rStyle w:val="23"/>
          <w:rFonts w:hint="eastAsia" w:eastAsia="宋体"/>
          <w:b/>
          <w:bCs/>
          <w:i/>
          <w:iCs/>
          <w:kern w:val="0"/>
          <w:sz w:val="20"/>
          <w:szCs w:val="20"/>
          <w:lang w:val="en-US" w:eastAsia="zh-CN"/>
        </w:rPr>
        <w:t xml:space="preserve"> should be supported in R18 ATG.</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宋体"/>
          <w:b w:val="0"/>
          <w:bCs w:val="0"/>
          <w:kern w:val="0"/>
          <w:sz w:val="20"/>
          <w:szCs w:val="20"/>
          <w:lang w:val="en-US" w:eastAsia="zh-CN"/>
        </w:rPr>
      </w:pPr>
      <w:r>
        <w:rPr>
          <w:rStyle w:val="23"/>
          <w:rFonts w:hint="eastAsia" w:eastAsia="宋体"/>
          <w:b w:val="0"/>
          <w:bCs w:val="0"/>
          <w:kern w:val="0"/>
          <w:sz w:val="20"/>
          <w:szCs w:val="20"/>
          <w:lang w:val="en-US" w:eastAsia="zh-CN"/>
        </w:rPr>
        <w:t>During RAN2</w:t>
      </w:r>
      <w:r>
        <w:rPr>
          <w:rStyle w:val="23"/>
          <w:rFonts w:hint="default" w:eastAsia="宋体"/>
          <w:b w:val="0"/>
          <w:bCs w:val="0"/>
          <w:kern w:val="0"/>
          <w:sz w:val="20"/>
          <w:szCs w:val="20"/>
          <w:lang w:val="en-US" w:eastAsia="zh-CN"/>
        </w:rPr>
        <w:t>’</w:t>
      </w:r>
      <w:r>
        <w:rPr>
          <w:rStyle w:val="23"/>
          <w:rFonts w:hint="eastAsia" w:eastAsia="宋体"/>
          <w:b w:val="0"/>
          <w:bCs w:val="0"/>
          <w:kern w:val="0"/>
          <w:sz w:val="20"/>
          <w:szCs w:val="20"/>
          <w:lang w:val="en-US" w:eastAsia="zh-CN"/>
        </w:rPr>
        <w:t>s discussion about the signaling of cell-specific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lang w:val="en-US" w:eastAsia="zh-CN"/>
        </w:rPr>
        <w:t>, they discussed the value range but no consensus so far. The maximum value of k</w:t>
      </w:r>
      <w:r>
        <w:rPr>
          <w:rStyle w:val="23"/>
          <w:rFonts w:hint="eastAsia" w:eastAsia="宋体"/>
          <w:b w:val="0"/>
          <w:bCs w:val="0"/>
          <w:kern w:val="0"/>
          <w:sz w:val="20"/>
          <w:szCs w:val="20"/>
          <w:vertAlign w:val="subscript"/>
          <w:lang w:val="en-US" w:eastAsia="zh-CN"/>
        </w:rPr>
        <w:t xml:space="preserve">offset </w:t>
      </w:r>
      <w:r>
        <w:rPr>
          <w:rStyle w:val="23"/>
          <w:rFonts w:hint="eastAsia" w:eastAsia="宋体"/>
          <w:b w:val="0"/>
          <w:bCs w:val="0"/>
          <w:kern w:val="0"/>
          <w:sz w:val="20"/>
          <w:szCs w:val="20"/>
          <w:lang w:val="en-US" w:eastAsia="zh-CN"/>
        </w:rPr>
        <w:t xml:space="preserve">should be larger than max TA, which is the max RTT time.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Theme="minorEastAsia"/>
          <w:b w:val="0"/>
          <w:bCs w:val="0"/>
          <w:kern w:val="0"/>
          <w:sz w:val="20"/>
          <w:szCs w:val="20"/>
          <w:lang w:val="en-US" w:eastAsia="zh-CN"/>
        </w:rPr>
      </w:pPr>
      <w:r>
        <w:rPr>
          <w:rStyle w:val="23"/>
          <w:rFonts w:hint="eastAsia" w:eastAsia="宋体"/>
          <w:b w:val="0"/>
          <w:bCs w:val="0"/>
          <w:kern w:val="0"/>
          <w:sz w:val="20"/>
          <w:szCs w:val="20"/>
          <w:lang w:val="en-US" w:eastAsia="zh-CN"/>
        </w:rPr>
        <w:t>Considering the max ISD in ATG WID is 300km and following ATG typical deployment scenario, the maximum distance between ATG BS and ATG UE can be 350km. To guarantee the network performance, we propose the ma</w:t>
      </w:r>
      <w:bookmarkStart w:id="9" w:name="_GoBack"/>
      <w:bookmarkEnd w:id="9"/>
      <w:r>
        <w:rPr>
          <w:rStyle w:val="23"/>
          <w:rFonts w:hint="eastAsia" w:eastAsia="宋体"/>
          <w:b w:val="0"/>
          <w:bCs w:val="0"/>
          <w:kern w:val="0"/>
          <w:sz w:val="20"/>
          <w:szCs w:val="20"/>
          <w:lang w:val="en-US" w:eastAsia="zh-CN"/>
        </w:rPr>
        <w:t>x cell-specific k</w:t>
      </w:r>
      <w:r>
        <w:rPr>
          <w:rStyle w:val="23"/>
          <w:rFonts w:hint="eastAsia" w:eastAsia="宋体"/>
          <w:b w:val="0"/>
          <w:bCs w:val="0"/>
          <w:kern w:val="0"/>
          <w:sz w:val="20"/>
          <w:szCs w:val="20"/>
          <w:vertAlign w:val="subscript"/>
          <w:lang w:val="en-US" w:eastAsia="zh-CN"/>
        </w:rPr>
        <w:t>offset</w:t>
      </w:r>
      <w:r>
        <w:rPr>
          <w:rStyle w:val="23"/>
          <w:rFonts w:hint="eastAsia" w:eastAsia="宋体"/>
          <w:b w:val="0"/>
          <w:bCs w:val="0"/>
          <w:kern w:val="0"/>
          <w:sz w:val="20"/>
          <w:szCs w:val="20"/>
          <w:lang w:val="en-US" w:eastAsia="zh-CN"/>
        </w:rPr>
        <w:t xml:space="preserve"> as 3ms = </w:t>
      </w:r>
      <m:oMath>
        <m:d>
          <m:dPr>
            <m:begChr m:val="⌈"/>
            <m:endChr m:val="⌉"/>
            <m:ctrlPr>
              <w:rPr>
                <w:rStyle w:val="23"/>
                <w:rFonts w:ascii="Cambria Math" w:hAnsi="Cambria Math"/>
                <w:bCs w:val="0"/>
                <w:i/>
                <w:kern w:val="0"/>
                <w:sz w:val="20"/>
                <w:szCs w:val="20"/>
                <w:lang w:val="en-US"/>
              </w:rPr>
            </m:ctrlPr>
          </m:dPr>
          <m:e>
            <m:r>
              <m:rPr>
                <m:sty m:val="p"/>
              </m:rPr>
              <w:rPr>
                <w:rStyle w:val="23"/>
                <w:rFonts w:hint="eastAsia" w:eastAsia="宋体"/>
                <w:kern w:val="0"/>
                <w:sz w:val="20"/>
                <w:szCs w:val="20"/>
                <w:lang w:val="en-US" w:eastAsia="zh-CN"/>
              </w:rPr>
              <m:t>(2∗350km)/(3e8m/s)</m:t>
            </m:r>
            <m:ctrlPr>
              <w:rPr>
                <w:rStyle w:val="23"/>
                <w:rFonts w:ascii="Cambria Math" w:hAnsi="Cambria Math"/>
                <w:bCs w:val="0"/>
                <w:i/>
                <w:kern w:val="0"/>
                <w:sz w:val="20"/>
                <w:szCs w:val="20"/>
                <w:lang w:val="en-US"/>
              </w:rPr>
            </m:ctrlPr>
          </m:e>
        </m:d>
      </m:oMath>
      <w:r>
        <w:rPr>
          <w:rStyle w:val="23"/>
          <w:rFonts w:hint="eastAsia" w:hAnsi="Cambria Math"/>
          <w:bCs w:val="0"/>
          <w:i w:val="0"/>
          <w:kern w:val="0"/>
          <w:sz w:val="20"/>
          <w:szCs w:val="20"/>
          <w:lang w:val="en-US" w:eastAsia="zh-CN"/>
        </w:rPr>
        <w:t xml:space="preserve"> = </w:t>
      </w:r>
      <w:r>
        <w:rPr>
          <w:rStyle w:val="23"/>
          <w:rFonts w:hint="eastAsia" w:eastAsia="宋体"/>
          <w:b w:val="0"/>
          <w:bCs w:val="0"/>
          <w:kern w:val="0"/>
          <w:sz w:val="20"/>
          <w:szCs w:val="20"/>
          <w:lang w:val="en-US" w:eastAsia="zh-CN"/>
        </w:rPr>
        <w:t xml:space="preserve">3 slots (for SCS 15kHz)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pPr>
      <w:r>
        <w:drawing>
          <wp:inline distT="0" distB="0" distL="114300" distR="114300">
            <wp:extent cx="5787390" cy="12573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87390" cy="12573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Style w:val="23"/>
          <w:rFonts w:hint="eastAsia" w:eastAsia="宋体"/>
          <w:b/>
          <w:bCs/>
          <w:i/>
          <w:iCs/>
          <w:kern w:val="0"/>
          <w:sz w:val="20"/>
          <w:szCs w:val="20"/>
          <w:lang w:val="en-US" w:eastAsia="zh-CN"/>
        </w:rPr>
        <w:t>Proposal 2: The maximum value of cell-specific k</w:t>
      </w:r>
      <w:r>
        <w:rPr>
          <w:rStyle w:val="23"/>
          <w:rFonts w:hint="eastAsia" w:eastAsia="宋体"/>
          <w:b/>
          <w:bCs/>
          <w:i/>
          <w:iCs/>
          <w:kern w:val="0"/>
          <w:sz w:val="20"/>
          <w:szCs w:val="20"/>
          <w:vertAlign w:val="subscript"/>
          <w:lang w:val="en-US" w:eastAsia="zh-CN"/>
        </w:rPr>
        <w:t>offset</w:t>
      </w:r>
      <w:r>
        <w:rPr>
          <w:rStyle w:val="23"/>
          <w:rFonts w:hint="eastAsia" w:eastAsia="宋体"/>
          <w:b/>
          <w:bCs/>
          <w:i/>
          <w:iCs/>
          <w:kern w:val="0"/>
          <w:sz w:val="20"/>
          <w:szCs w:val="20"/>
          <w:lang w:val="en-US" w:eastAsia="zh-CN"/>
        </w:rPr>
        <w:t xml:space="preserve"> is 3ms in ATG scenario, which should be covered by the signalling of cell-specific k</w:t>
      </w:r>
      <w:r>
        <w:rPr>
          <w:rStyle w:val="23"/>
          <w:rFonts w:hint="eastAsia" w:eastAsia="宋体"/>
          <w:b/>
          <w:bCs/>
          <w:i/>
          <w:iCs/>
          <w:kern w:val="0"/>
          <w:sz w:val="20"/>
          <w:szCs w:val="20"/>
          <w:vertAlign w:val="subscript"/>
          <w:lang w:val="en-US" w:eastAsia="zh-CN"/>
        </w:rPr>
        <w:t>offset</w:t>
      </w:r>
      <w:r>
        <w:rPr>
          <w:rStyle w:val="23"/>
          <w:rFonts w:hint="eastAsia" w:eastAsia="宋体"/>
          <w:b/>
          <w:bCs/>
          <w:i/>
          <w:iCs/>
          <w:kern w:val="0"/>
          <w:sz w:val="20"/>
          <w:szCs w:val="20"/>
          <w:lang w:val="en-US" w:eastAsia="zh-CN"/>
        </w:rPr>
        <w:t xml:space="preserve"> in ATG SIB.</w:t>
      </w: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7"/>
      <w:bookmarkEnd w:id="8"/>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Style w:val="23"/>
          <w:rFonts w:hint="eastAsia" w:eastAsia="宋体"/>
          <w:b/>
          <w:bCs/>
          <w:i/>
          <w:iCs/>
          <w:kern w:val="0"/>
          <w:sz w:val="20"/>
          <w:szCs w:val="20"/>
          <w:lang w:val="en-US" w:eastAsia="zh-CN"/>
        </w:rPr>
      </w:pPr>
      <w:r>
        <w:rPr>
          <w:rStyle w:val="23"/>
          <w:rFonts w:hint="eastAsia" w:eastAsia="宋体"/>
          <w:b/>
          <w:bCs/>
          <w:i/>
          <w:iCs/>
          <w:kern w:val="0"/>
          <w:sz w:val="20"/>
          <w:szCs w:val="20"/>
          <w:lang w:val="en-US" w:eastAsia="zh-CN"/>
        </w:rPr>
        <w:t>Proposal 1: The k</w:t>
      </w:r>
      <w:r>
        <w:rPr>
          <w:rStyle w:val="23"/>
          <w:rFonts w:hint="eastAsia" w:eastAsia="宋体"/>
          <w:b/>
          <w:bCs/>
          <w:i/>
          <w:iCs/>
          <w:kern w:val="0"/>
          <w:sz w:val="20"/>
          <w:szCs w:val="20"/>
          <w:vertAlign w:val="subscript"/>
          <w:lang w:val="en-US" w:eastAsia="zh-CN"/>
        </w:rPr>
        <w:t>offset</w:t>
      </w:r>
      <w:r>
        <w:rPr>
          <w:rStyle w:val="23"/>
          <w:rFonts w:hint="eastAsia" w:eastAsia="宋体"/>
          <w:b/>
          <w:bCs/>
          <w:i/>
          <w:iCs/>
          <w:kern w:val="0"/>
          <w:sz w:val="20"/>
          <w:szCs w:val="20"/>
          <w:lang w:val="en-US" w:eastAsia="zh-CN"/>
        </w:rPr>
        <w:t xml:space="preserve"> mechanism as R17 NTN including both cell-specific k</w:t>
      </w:r>
      <w:r>
        <w:rPr>
          <w:rStyle w:val="23"/>
          <w:rFonts w:hint="eastAsia" w:eastAsia="宋体"/>
          <w:b/>
          <w:bCs/>
          <w:i/>
          <w:iCs/>
          <w:kern w:val="0"/>
          <w:sz w:val="20"/>
          <w:szCs w:val="20"/>
          <w:vertAlign w:val="subscript"/>
          <w:lang w:val="en-US" w:eastAsia="zh-CN"/>
        </w:rPr>
        <w:t>offset</w:t>
      </w:r>
      <w:r>
        <w:rPr>
          <w:rStyle w:val="23"/>
          <w:rFonts w:hint="eastAsia" w:eastAsia="宋体"/>
          <w:b/>
          <w:bCs/>
          <w:i/>
          <w:iCs/>
          <w:kern w:val="0"/>
          <w:sz w:val="20"/>
          <w:szCs w:val="20"/>
          <w:lang w:val="en-US" w:eastAsia="zh-CN"/>
        </w:rPr>
        <w:t xml:space="preserve"> and UE-specific k</w:t>
      </w:r>
      <w:r>
        <w:rPr>
          <w:rStyle w:val="23"/>
          <w:rFonts w:hint="eastAsia" w:eastAsia="宋体"/>
          <w:b/>
          <w:bCs/>
          <w:i/>
          <w:iCs/>
          <w:kern w:val="0"/>
          <w:sz w:val="20"/>
          <w:szCs w:val="20"/>
          <w:vertAlign w:val="subscript"/>
          <w:lang w:val="en-US" w:eastAsia="zh-CN"/>
        </w:rPr>
        <w:t>offset</w:t>
      </w:r>
      <w:r>
        <w:rPr>
          <w:rStyle w:val="23"/>
          <w:rFonts w:hint="eastAsia" w:eastAsia="宋体"/>
          <w:b/>
          <w:bCs/>
          <w:i/>
          <w:iCs/>
          <w:kern w:val="0"/>
          <w:sz w:val="20"/>
          <w:szCs w:val="20"/>
          <w:lang w:val="en-US" w:eastAsia="zh-CN"/>
        </w:rPr>
        <w:t xml:space="preserve"> should be supported in R18 ATG.</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Style w:val="23"/>
          <w:rFonts w:hint="eastAsia" w:eastAsia="宋体"/>
          <w:b/>
          <w:bCs/>
          <w:i/>
          <w:iCs/>
          <w:kern w:val="0"/>
          <w:sz w:val="20"/>
          <w:szCs w:val="20"/>
          <w:lang w:val="en-US" w:eastAsia="zh-CN"/>
        </w:rPr>
        <w:t>Proposal 2: The maximum value of cell-specific k</w:t>
      </w:r>
      <w:r>
        <w:rPr>
          <w:rStyle w:val="23"/>
          <w:rFonts w:hint="eastAsia" w:eastAsia="宋体"/>
          <w:b/>
          <w:bCs/>
          <w:i/>
          <w:iCs/>
          <w:kern w:val="0"/>
          <w:sz w:val="20"/>
          <w:szCs w:val="20"/>
          <w:vertAlign w:val="subscript"/>
          <w:lang w:val="en-US" w:eastAsia="zh-CN"/>
        </w:rPr>
        <w:t>offset</w:t>
      </w:r>
      <w:r>
        <w:rPr>
          <w:rStyle w:val="23"/>
          <w:rFonts w:hint="eastAsia" w:eastAsia="宋体"/>
          <w:b/>
          <w:bCs/>
          <w:i/>
          <w:iCs/>
          <w:kern w:val="0"/>
          <w:sz w:val="20"/>
          <w:szCs w:val="20"/>
          <w:lang w:val="en-US" w:eastAsia="zh-CN"/>
        </w:rPr>
        <w:t xml:space="preserve"> is 3ms in ATG scenario, which should be covered by the signalling of cell-specific k</w:t>
      </w:r>
      <w:r>
        <w:rPr>
          <w:rStyle w:val="23"/>
          <w:rFonts w:hint="eastAsia" w:eastAsia="宋体"/>
          <w:b/>
          <w:bCs/>
          <w:i/>
          <w:iCs/>
          <w:kern w:val="0"/>
          <w:sz w:val="20"/>
          <w:szCs w:val="20"/>
          <w:vertAlign w:val="subscript"/>
          <w:lang w:val="en-US" w:eastAsia="zh-CN"/>
        </w:rPr>
        <w:t>offset</w:t>
      </w:r>
      <w:r>
        <w:rPr>
          <w:rStyle w:val="23"/>
          <w:rFonts w:hint="eastAsia" w:eastAsia="宋体"/>
          <w:b/>
          <w:bCs/>
          <w:i/>
          <w:iCs/>
          <w:kern w:val="0"/>
          <w:sz w:val="20"/>
          <w:szCs w:val="20"/>
          <w:lang w:val="en-US" w:eastAsia="zh-CN"/>
        </w:rPr>
        <w:t xml:space="preserve"> in ATG SIB.</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5"/>
        </w:numPr>
        <w:rPr>
          <w:sz w:val="20"/>
          <w:szCs w:val="20"/>
          <w:lang w:val="en-GB"/>
        </w:rPr>
      </w:pPr>
      <w:r>
        <w:rPr>
          <w:rFonts w:hint="eastAsia"/>
          <w:sz w:val="20"/>
          <w:szCs w:val="20"/>
          <w:lang w:val="en-US" w:eastAsia="zh-CN"/>
        </w:rPr>
        <w:t>R4-2303226, WF on NR ATG RRM requirements, CMCC</w:t>
      </w:r>
    </w:p>
    <w:p>
      <w:pPr>
        <w:numPr>
          <w:ilvl w:val="0"/>
          <w:numId w:val="5"/>
        </w:numPr>
        <w:rPr>
          <w:sz w:val="20"/>
          <w:szCs w:val="20"/>
          <w:lang w:val="en-GB"/>
        </w:rPr>
      </w:pPr>
      <w:r>
        <w:rPr>
          <w:rFonts w:hint="eastAsia"/>
          <w:sz w:val="20"/>
          <w:szCs w:val="20"/>
          <w:lang w:val="en-GB"/>
        </w:rPr>
        <w:t>R4-2310058</w:t>
      </w:r>
      <w:r>
        <w:rPr>
          <w:rFonts w:hint="eastAsia"/>
          <w:sz w:val="20"/>
          <w:szCs w:val="20"/>
          <w:lang w:val="en-US" w:eastAsia="zh-CN"/>
        </w:rPr>
        <w:t>, Reply LS on applicability of SIB19 for NR ATG, RAN4</w:t>
      </w:r>
    </w:p>
    <w:p>
      <w:pPr>
        <w:numPr>
          <w:ilvl w:val="0"/>
          <w:numId w:val="5"/>
        </w:numPr>
        <w:rPr>
          <w:sz w:val="20"/>
          <w:szCs w:val="20"/>
          <w:lang w:val="en-GB"/>
        </w:rPr>
      </w:pPr>
      <w:r>
        <w:rPr>
          <w:rFonts w:hint="eastAsia"/>
          <w:sz w:val="20"/>
          <w:szCs w:val="20"/>
          <w:lang w:val="en-GB"/>
        </w:rPr>
        <w:t>Chair notes for RAN2#123bis</w:t>
      </w:r>
      <w:r>
        <w:rPr>
          <w:rFonts w:hint="eastAsia"/>
          <w:sz w:val="20"/>
          <w:szCs w:val="20"/>
          <w:lang w:val="en-US" w:eastAsia="zh-CN"/>
        </w:rPr>
        <w:t>, RAN2</w:t>
      </w:r>
    </w:p>
    <w:p>
      <w:pPr>
        <w:numPr>
          <w:ilvl w:val="0"/>
          <w:numId w:val="5"/>
        </w:numPr>
        <w:rPr>
          <w:sz w:val="20"/>
          <w:szCs w:val="20"/>
          <w:lang w:val="en-GB"/>
        </w:rPr>
      </w:pPr>
      <w:r>
        <w:rPr>
          <w:rFonts w:hint="eastAsia"/>
          <w:sz w:val="20"/>
          <w:szCs w:val="20"/>
        </w:rPr>
        <w:t>R4-2314307, WF on NR ATG RRM requirements, CMCC</w:t>
      </w:r>
    </w:p>
    <w:p>
      <w:pPr>
        <w:numPr>
          <w:ilvl w:val="0"/>
          <w:numId w:val="5"/>
        </w:numPr>
        <w:rPr>
          <w:sz w:val="20"/>
          <w:szCs w:val="20"/>
          <w:lang w:val="en-GB"/>
        </w:rPr>
      </w:pPr>
      <w:r>
        <w:rPr>
          <w:rFonts w:hint="eastAsia"/>
          <w:sz w:val="20"/>
          <w:szCs w:val="20"/>
          <w:lang w:val="en-US" w:eastAsia="zh-CN"/>
        </w:rPr>
        <w:t>R4-2220361, WF on NR ATG RRM requirements, CMCC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71BBCF5"/>
    <w:multiLevelType w:val="singleLevel"/>
    <w:tmpl w:val="471BBCF5"/>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5NjVlZjdjZDdmYTAxNzEyYjA5NGY0NTVhZTIzMmQifQ=="/>
  </w:docVars>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07733"/>
    <w:rsid w:val="000101E8"/>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569"/>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CB"/>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00"/>
    <w:rsid w:val="00055B18"/>
    <w:rsid w:val="00055B86"/>
    <w:rsid w:val="00055FFB"/>
    <w:rsid w:val="00056D3E"/>
    <w:rsid w:val="00057B41"/>
    <w:rsid w:val="00060004"/>
    <w:rsid w:val="0006017F"/>
    <w:rsid w:val="00060352"/>
    <w:rsid w:val="0006059B"/>
    <w:rsid w:val="000609CB"/>
    <w:rsid w:val="00060EA5"/>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46A"/>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6B9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C49"/>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E40"/>
    <w:rsid w:val="000B0F94"/>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3A1"/>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251E"/>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3910"/>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96C"/>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A95"/>
    <w:rsid w:val="00146CF0"/>
    <w:rsid w:val="00147024"/>
    <w:rsid w:val="00147722"/>
    <w:rsid w:val="001503FD"/>
    <w:rsid w:val="00150A5C"/>
    <w:rsid w:val="00150B92"/>
    <w:rsid w:val="00150D89"/>
    <w:rsid w:val="00152691"/>
    <w:rsid w:val="00152F28"/>
    <w:rsid w:val="001537AC"/>
    <w:rsid w:val="001538FF"/>
    <w:rsid w:val="00153AF5"/>
    <w:rsid w:val="001540A5"/>
    <w:rsid w:val="001546F8"/>
    <w:rsid w:val="00154BD3"/>
    <w:rsid w:val="00154C8D"/>
    <w:rsid w:val="00154F4C"/>
    <w:rsid w:val="00155A79"/>
    <w:rsid w:val="00155F45"/>
    <w:rsid w:val="001568A6"/>
    <w:rsid w:val="00156B38"/>
    <w:rsid w:val="00156F80"/>
    <w:rsid w:val="00157494"/>
    <w:rsid w:val="00157515"/>
    <w:rsid w:val="001576E8"/>
    <w:rsid w:val="00157B4B"/>
    <w:rsid w:val="001602CC"/>
    <w:rsid w:val="00160BDE"/>
    <w:rsid w:val="001617A5"/>
    <w:rsid w:val="0016182B"/>
    <w:rsid w:val="00161846"/>
    <w:rsid w:val="001621F0"/>
    <w:rsid w:val="001624D3"/>
    <w:rsid w:val="001626C6"/>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99D"/>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9FA"/>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244D"/>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56A"/>
    <w:rsid w:val="001D66B6"/>
    <w:rsid w:val="001D696C"/>
    <w:rsid w:val="001D6C84"/>
    <w:rsid w:val="001D6CE6"/>
    <w:rsid w:val="001D6ED9"/>
    <w:rsid w:val="001D6F0C"/>
    <w:rsid w:val="001D7220"/>
    <w:rsid w:val="001D7793"/>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316"/>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2FED"/>
    <w:rsid w:val="00213D0D"/>
    <w:rsid w:val="00214860"/>
    <w:rsid w:val="00214912"/>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0F04"/>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594"/>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0981"/>
    <w:rsid w:val="002513F6"/>
    <w:rsid w:val="00252B5F"/>
    <w:rsid w:val="00252CEF"/>
    <w:rsid w:val="002540A3"/>
    <w:rsid w:val="002541CC"/>
    <w:rsid w:val="00254851"/>
    <w:rsid w:val="00255506"/>
    <w:rsid w:val="00255888"/>
    <w:rsid w:val="00255DB6"/>
    <w:rsid w:val="00255E0E"/>
    <w:rsid w:val="00255F80"/>
    <w:rsid w:val="00256172"/>
    <w:rsid w:val="00256297"/>
    <w:rsid w:val="00256613"/>
    <w:rsid w:val="0025699E"/>
    <w:rsid w:val="00257D95"/>
    <w:rsid w:val="0026060E"/>
    <w:rsid w:val="00260CAE"/>
    <w:rsid w:val="00260CC7"/>
    <w:rsid w:val="00260D25"/>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34F"/>
    <w:rsid w:val="00290A01"/>
    <w:rsid w:val="00291A27"/>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ADE"/>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5EB"/>
    <w:rsid w:val="002A6760"/>
    <w:rsid w:val="002A70C9"/>
    <w:rsid w:val="002A72A7"/>
    <w:rsid w:val="002A7C9F"/>
    <w:rsid w:val="002A7ED3"/>
    <w:rsid w:val="002B0016"/>
    <w:rsid w:val="002B00FD"/>
    <w:rsid w:val="002B07E3"/>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959"/>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87C"/>
    <w:rsid w:val="002D2B08"/>
    <w:rsid w:val="002D3D22"/>
    <w:rsid w:val="002D402C"/>
    <w:rsid w:val="002D46AD"/>
    <w:rsid w:val="002D4B3D"/>
    <w:rsid w:val="002D54FA"/>
    <w:rsid w:val="002D5775"/>
    <w:rsid w:val="002D5AE2"/>
    <w:rsid w:val="002D6A26"/>
    <w:rsid w:val="002D7215"/>
    <w:rsid w:val="002D74C1"/>
    <w:rsid w:val="002E05A8"/>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11E"/>
    <w:rsid w:val="002F75CA"/>
    <w:rsid w:val="002F77F9"/>
    <w:rsid w:val="002F798A"/>
    <w:rsid w:val="00300717"/>
    <w:rsid w:val="00300D50"/>
    <w:rsid w:val="00301554"/>
    <w:rsid w:val="00301699"/>
    <w:rsid w:val="00301A6C"/>
    <w:rsid w:val="00301C0C"/>
    <w:rsid w:val="00301EBC"/>
    <w:rsid w:val="00302346"/>
    <w:rsid w:val="003025D2"/>
    <w:rsid w:val="00302BFE"/>
    <w:rsid w:val="00302C02"/>
    <w:rsid w:val="00302EB0"/>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5CA"/>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A1C"/>
    <w:rsid w:val="0032144C"/>
    <w:rsid w:val="003216B6"/>
    <w:rsid w:val="00321BFC"/>
    <w:rsid w:val="003226D9"/>
    <w:rsid w:val="00322921"/>
    <w:rsid w:val="00323897"/>
    <w:rsid w:val="003240FC"/>
    <w:rsid w:val="00324291"/>
    <w:rsid w:val="0032463C"/>
    <w:rsid w:val="00325098"/>
    <w:rsid w:val="003254CD"/>
    <w:rsid w:val="00325CF7"/>
    <w:rsid w:val="00326321"/>
    <w:rsid w:val="00326620"/>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1E"/>
    <w:rsid w:val="00334151"/>
    <w:rsid w:val="003342BF"/>
    <w:rsid w:val="00334DF5"/>
    <w:rsid w:val="0033560E"/>
    <w:rsid w:val="00336AF9"/>
    <w:rsid w:val="0033718B"/>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34C"/>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233"/>
    <w:rsid w:val="00370607"/>
    <w:rsid w:val="00371086"/>
    <w:rsid w:val="00371567"/>
    <w:rsid w:val="00371E3F"/>
    <w:rsid w:val="003723B0"/>
    <w:rsid w:val="003727A6"/>
    <w:rsid w:val="00372EDD"/>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9BD"/>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7EE"/>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56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300"/>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3FA1"/>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00"/>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99A"/>
    <w:rsid w:val="00457A88"/>
    <w:rsid w:val="00457B29"/>
    <w:rsid w:val="00457E9A"/>
    <w:rsid w:val="00460B70"/>
    <w:rsid w:val="00460DE6"/>
    <w:rsid w:val="00461052"/>
    <w:rsid w:val="00461397"/>
    <w:rsid w:val="00462AB7"/>
    <w:rsid w:val="00463249"/>
    <w:rsid w:val="00463511"/>
    <w:rsid w:val="00463C8A"/>
    <w:rsid w:val="00463E61"/>
    <w:rsid w:val="00464509"/>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10"/>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05CA"/>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1BC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3A32"/>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48A"/>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318"/>
    <w:rsid w:val="004C7B19"/>
    <w:rsid w:val="004D0148"/>
    <w:rsid w:val="004D024E"/>
    <w:rsid w:val="004D04FF"/>
    <w:rsid w:val="004D05FC"/>
    <w:rsid w:val="004D096F"/>
    <w:rsid w:val="004D1195"/>
    <w:rsid w:val="004D15B4"/>
    <w:rsid w:val="004D1732"/>
    <w:rsid w:val="004D1988"/>
    <w:rsid w:val="004D1D4D"/>
    <w:rsid w:val="004D2A17"/>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906"/>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36DA"/>
    <w:rsid w:val="00504398"/>
    <w:rsid w:val="0050446A"/>
    <w:rsid w:val="00504522"/>
    <w:rsid w:val="005047A0"/>
    <w:rsid w:val="005047FF"/>
    <w:rsid w:val="00504EC1"/>
    <w:rsid w:val="00504FA0"/>
    <w:rsid w:val="005059A8"/>
    <w:rsid w:val="00505E3A"/>
    <w:rsid w:val="00506897"/>
    <w:rsid w:val="00507581"/>
    <w:rsid w:val="00507ABC"/>
    <w:rsid w:val="00507D68"/>
    <w:rsid w:val="00507F27"/>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BD2"/>
    <w:rsid w:val="00533E13"/>
    <w:rsid w:val="00533FEA"/>
    <w:rsid w:val="00534381"/>
    <w:rsid w:val="00534593"/>
    <w:rsid w:val="0053459C"/>
    <w:rsid w:val="0053465C"/>
    <w:rsid w:val="00534A4C"/>
    <w:rsid w:val="005357B9"/>
    <w:rsid w:val="005361F4"/>
    <w:rsid w:val="0053691C"/>
    <w:rsid w:val="00536B2B"/>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696"/>
    <w:rsid w:val="00550A37"/>
    <w:rsid w:val="00550B39"/>
    <w:rsid w:val="005510C8"/>
    <w:rsid w:val="0055122D"/>
    <w:rsid w:val="00551728"/>
    <w:rsid w:val="00551CD3"/>
    <w:rsid w:val="005521E3"/>
    <w:rsid w:val="00552692"/>
    <w:rsid w:val="00552B31"/>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3351"/>
    <w:rsid w:val="0056410B"/>
    <w:rsid w:val="0056417E"/>
    <w:rsid w:val="00564336"/>
    <w:rsid w:val="0056448E"/>
    <w:rsid w:val="00564898"/>
    <w:rsid w:val="00564A83"/>
    <w:rsid w:val="0056567E"/>
    <w:rsid w:val="00566162"/>
    <w:rsid w:val="00566C87"/>
    <w:rsid w:val="00567643"/>
    <w:rsid w:val="00567846"/>
    <w:rsid w:val="005678A2"/>
    <w:rsid w:val="00567F02"/>
    <w:rsid w:val="00571921"/>
    <w:rsid w:val="00571B51"/>
    <w:rsid w:val="00571C11"/>
    <w:rsid w:val="00571D3F"/>
    <w:rsid w:val="0057203A"/>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683"/>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4B8D"/>
    <w:rsid w:val="005F4C64"/>
    <w:rsid w:val="005F58D1"/>
    <w:rsid w:val="005F5B6E"/>
    <w:rsid w:val="005F6E23"/>
    <w:rsid w:val="005F6F07"/>
    <w:rsid w:val="005F7816"/>
    <w:rsid w:val="005F7AD8"/>
    <w:rsid w:val="0060111D"/>
    <w:rsid w:val="006017EB"/>
    <w:rsid w:val="006024E0"/>
    <w:rsid w:val="00602807"/>
    <w:rsid w:val="00603AF4"/>
    <w:rsid w:val="00603DA4"/>
    <w:rsid w:val="00603DD7"/>
    <w:rsid w:val="00603FCA"/>
    <w:rsid w:val="006045DE"/>
    <w:rsid w:val="00604A8C"/>
    <w:rsid w:val="00604F42"/>
    <w:rsid w:val="0060511F"/>
    <w:rsid w:val="00605537"/>
    <w:rsid w:val="00605D90"/>
    <w:rsid w:val="00606004"/>
    <w:rsid w:val="0060618C"/>
    <w:rsid w:val="00606201"/>
    <w:rsid w:val="00606399"/>
    <w:rsid w:val="006068DC"/>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4CC2"/>
    <w:rsid w:val="00625685"/>
    <w:rsid w:val="00625E60"/>
    <w:rsid w:val="00625FD7"/>
    <w:rsid w:val="0062612B"/>
    <w:rsid w:val="006264D1"/>
    <w:rsid w:val="00626A75"/>
    <w:rsid w:val="006275F5"/>
    <w:rsid w:val="0062795E"/>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AD4"/>
    <w:rsid w:val="00641B36"/>
    <w:rsid w:val="00641EA1"/>
    <w:rsid w:val="0064233E"/>
    <w:rsid w:val="00642FCB"/>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33"/>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194"/>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4A8"/>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09"/>
    <w:rsid w:val="006E60FE"/>
    <w:rsid w:val="006E63FC"/>
    <w:rsid w:val="006E6BE4"/>
    <w:rsid w:val="006E6F18"/>
    <w:rsid w:val="006F104C"/>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C2"/>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3E9"/>
    <w:rsid w:val="007146CF"/>
    <w:rsid w:val="007147A7"/>
    <w:rsid w:val="00714888"/>
    <w:rsid w:val="00714CA1"/>
    <w:rsid w:val="00714CCE"/>
    <w:rsid w:val="007150E1"/>
    <w:rsid w:val="0071544A"/>
    <w:rsid w:val="00715574"/>
    <w:rsid w:val="007159D5"/>
    <w:rsid w:val="00715FE9"/>
    <w:rsid w:val="0071609B"/>
    <w:rsid w:val="00717AB0"/>
    <w:rsid w:val="00717C60"/>
    <w:rsid w:val="0072068B"/>
    <w:rsid w:val="0072091B"/>
    <w:rsid w:val="007209C1"/>
    <w:rsid w:val="00720D43"/>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005"/>
    <w:rsid w:val="0074623A"/>
    <w:rsid w:val="007464D8"/>
    <w:rsid w:val="00746506"/>
    <w:rsid w:val="00747BF5"/>
    <w:rsid w:val="00750710"/>
    <w:rsid w:val="0075073E"/>
    <w:rsid w:val="00750790"/>
    <w:rsid w:val="0075091B"/>
    <w:rsid w:val="00750952"/>
    <w:rsid w:val="00750FF0"/>
    <w:rsid w:val="00751072"/>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4F51"/>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D7C"/>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73"/>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6F3D"/>
    <w:rsid w:val="007A797D"/>
    <w:rsid w:val="007B0411"/>
    <w:rsid w:val="007B05E0"/>
    <w:rsid w:val="007B062B"/>
    <w:rsid w:val="007B0901"/>
    <w:rsid w:val="007B0F2B"/>
    <w:rsid w:val="007B1257"/>
    <w:rsid w:val="007B125E"/>
    <w:rsid w:val="007B191E"/>
    <w:rsid w:val="007B1C2B"/>
    <w:rsid w:val="007B238E"/>
    <w:rsid w:val="007B2536"/>
    <w:rsid w:val="007B307E"/>
    <w:rsid w:val="007B3AB1"/>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2C8"/>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1BF"/>
    <w:rsid w:val="007E356D"/>
    <w:rsid w:val="007E3982"/>
    <w:rsid w:val="007E3C02"/>
    <w:rsid w:val="007E42CD"/>
    <w:rsid w:val="007E43B4"/>
    <w:rsid w:val="007E44D4"/>
    <w:rsid w:val="007E510F"/>
    <w:rsid w:val="007E5BE9"/>
    <w:rsid w:val="007E5D7B"/>
    <w:rsid w:val="007E6C35"/>
    <w:rsid w:val="007E6C8F"/>
    <w:rsid w:val="007E757F"/>
    <w:rsid w:val="007F0287"/>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623E"/>
    <w:rsid w:val="00807025"/>
    <w:rsid w:val="008072F2"/>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A99"/>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3E6A"/>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131"/>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6EF2"/>
    <w:rsid w:val="008775CB"/>
    <w:rsid w:val="0087770A"/>
    <w:rsid w:val="00880095"/>
    <w:rsid w:val="008805DD"/>
    <w:rsid w:val="00880753"/>
    <w:rsid w:val="0088110E"/>
    <w:rsid w:val="008816DB"/>
    <w:rsid w:val="0088195F"/>
    <w:rsid w:val="008821A1"/>
    <w:rsid w:val="00882250"/>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8CA"/>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B32"/>
    <w:rsid w:val="008C1C61"/>
    <w:rsid w:val="008C2512"/>
    <w:rsid w:val="008C253E"/>
    <w:rsid w:val="008C2599"/>
    <w:rsid w:val="008C2ABA"/>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51A"/>
    <w:rsid w:val="008D0703"/>
    <w:rsid w:val="008D0CF8"/>
    <w:rsid w:val="008D0E26"/>
    <w:rsid w:val="008D0F0C"/>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28C"/>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46B"/>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2FA2"/>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47EB2"/>
    <w:rsid w:val="0095036B"/>
    <w:rsid w:val="00950481"/>
    <w:rsid w:val="00950799"/>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0DBB"/>
    <w:rsid w:val="009612C6"/>
    <w:rsid w:val="00961AEB"/>
    <w:rsid w:val="00961CD1"/>
    <w:rsid w:val="00962CD2"/>
    <w:rsid w:val="0096316D"/>
    <w:rsid w:val="00963391"/>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30C"/>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89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7C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4FE"/>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3E77"/>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51A"/>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93A"/>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47E3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E1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5CA7"/>
    <w:rsid w:val="00A9610D"/>
    <w:rsid w:val="00A96B90"/>
    <w:rsid w:val="00A96F42"/>
    <w:rsid w:val="00A9771D"/>
    <w:rsid w:val="00A97B4B"/>
    <w:rsid w:val="00AA0A0A"/>
    <w:rsid w:val="00AA0DD8"/>
    <w:rsid w:val="00AA142D"/>
    <w:rsid w:val="00AA1466"/>
    <w:rsid w:val="00AA1833"/>
    <w:rsid w:val="00AA1A5D"/>
    <w:rsid w:val="00AA1ECD"/>
    <w:rsid w:val="00AA1ECE"/>
    <w:rsid w:val="00AA2017"/>
    <w:rsid w:val="00AA28FE"/>
    <w:rsid w:val="00AA2AE1"/>
    <w:rsid w:val="00AA2F93"/>
    <w:rsid w:val="00AA2FAA"/>
    <w:rsid w:val="00AA33ED"/>
    <w:rsid w:val="00AA35A5"/>
    <w:rsid w:val="00AA365F"/>
    <w:rsid w:val="00AA43C7"/>
    <w:rsid w:val="00AA4CE5"/>
    <w:rsid w:val="00AA505C"/>
    <w:rsid w:val="00AA51EA"/>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2F2"/>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3EED"/>
    <w:rsid w:val="00AD401B"/>
    <w:rsid w:val="00AD468F"/>
    <w:rsid w:val="00AD488C"/>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AB"/>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05"/>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89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66B"/>
    <w:rsid w:val="00B228E8"/>
    <w:rsid w:val="00B23E34"/>
    <w:rsid w:val="00B23E41"/>
    <w:rsid w:val="00B23EED"/>
    <w:rsid w:val="00B24879"/>
    <w:rsid w:val="00B248B5"/>
    <w:rsid w:val="00B25D9C"/>
    <w:rsid w:val="00B25E77"/>
    <w:rsid w:val="00B2612D"/>
    <w:rsid w:val="00B26FCC"/>
    <w:rsid w:val="00B27145"/>
    <w:rsid w:val="00B273CF"/>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85F"/>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1B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97E"/>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76A"/>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2"/>
    <w:rsid w:val="00C063BE"/>
    <w:rsid w:val="00C0658D"/>
    <w:rsid w:val="00C06913"/>
    <w:rsid w:val="00C06BC1"/>
    <w:rsid w:val="00C07E0D"/>
    <w:rsid w:val="00C07F1E"/>
    <w:rsid w:val="00C10225"/>
    <w:rsid w:val="00C1022D"/>
    <w:rsid w:val="00C1041D"/>
    <w:rsid w:val="00C108E0"/>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8F3"/>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0851"/>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4DE"/>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662"/>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1FAE"/>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9BB"/>
    <w:rsid w:val="00CA7D9E"/>
    <w:rsid w:val="00CB07FB"/>
    <w:rsid w:val="00CB0D3E"/>
    <w:rsid w:val="00CB15A9"/>
    <w:rsid w:val="00CB1D57"/>
    <w:rsid w:val="00CB2585"/>
    <w:rsid w:val="00CB2A12"/>
    <w:rsid w:val="00CB2BC3"/>
    <w:rsid w:val="00CB3C55"/>
    <w:rsid w:val="00CB3F3F"/>
    <w:rsid w:val="00CB470D"/>
    <w:rsid w:val="00CB4A0F"/>
    <w:rsid w:val="00CB4FA7"/>
    <w:rsid w:val="00CB5456"/>
    <w:rsid w:val="00CB5A48"/>
    <w:rsid w:val="00CB5AB7"/>
    <w:rsid w:val="00CB6455"/>
    <w:rsid w:val="00CB66DA"/>
    <w:rsid w:val="00CB7628"/>
    <w:rsid w:val="00CB7844"/>
    <w:rsid w:val="00CC04BC"/>
    <w:rsid w:val="00CC09CA"/>
    <w:rsid w:val="00CC1069"/>
    <w:rsid w:val="00CC12BB"/>
    <w:rsid w:val="00CC15A3"/>
    <w:rsid w:val="00CC1B2E"/>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03F"/>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5DB"/>
    <w:rsid w:val="00CD5A74"/>
    <w:rsid w:val="00CD5B45"/>
    <w:rsid w:val="00CD62B5"/>
    <w:rsid w:val="00CD691A"/>
    <w:rsid w:val="00CD72EA"/>
    <w:rsid w:val="00CD72ED"/>
    <w:rsid w:val="00CD7497"/>
    <w:rsid w:val="00CD7F92"/>
    <w:rsid w:val="00CE06C8"/>
    <w:rsid w:val="00CE15A0"/>
    <w:rsid w:val="00CE220C"/>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363"/>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0A4D"/>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37859"/>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8F7"/>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055"/>
    <w:rsid w:val="00D6326B"/>
    <w:rsid w:val="00D63369"/>
    <w:rsid w:val="00D63583"/>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24E"/>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852"/>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0DAC"/>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5BB"/>
    <w:rsid w:val="00DE2B08"/>
    <w:rsid w:val="00DE33AC"/>
    <w:rsid w:val="00DE33F7"/>
    <w:rsid w:val="00DE4487"/>
    <w:rsid w:val="00DE47F7"/>
    <w:rsid w:val="00DE4FB6"/>
    <w:rsid w:val="00DE5150"/>
    <w:rsid w:val="00DE55EF"/>
    <w:rsid w:val="00DE59F4"/>
    <w:rsid w:val="00DE5BBA"/>
    <w:rsid w:val="00DE5C03"/>
    <w:rsid w:val="00DE5EA6"/>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9C5"/>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476B"/>
    <w:rsid w:val="00E15573"/>
    <w:rsid w:val="00E1639F"/>
    <w:rsid w:val="00E16A98"/>
    <w:rsid w:val="00E1739C"/>
    <w:rsid w:val="00E1752F"/>
    <w:rsid w:val="00E206DE"/>
    <w:rsid w:val="00E20951"/>
    <w:rsid w:val="00E21196"/>
    <w:rsid w:val="00E21592"/>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087D"/>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0C30"/>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069"/>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8E3"/>
    <w:rsid w:val="00E830C7"/>
    <w:rsid w:val="00E83750"/>
    <w:rsid w:val="00E83758"/>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D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3F9"/>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0F8"/>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F1C"/>
    <w:rsid w:val="00EF10B5"/>
    <w:rsid w:val="00EF1110"/>
    <w:rsid w:val="00EF13C5"/>
    <w:rsid w:val="00EF1759"/>
    <w:rsid w:val="00EF1BE4"/>
    <w:rsid w:val="00EF1C89"/>
    <w:rsid w:val="00EF2596"/>
    <w:rsid w:val="00EF29B6"/>
    <w:rsid w:val="00EF2D7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4B3"/>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18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27DFC"/>
    <w:rsid w:val="00F30494"/>
    <w:rsid w:val="00F3082F"/>
    <w:rsid w:val="00F30AF8"/>
    <w:rsid w:val="00F30B4C"/>
    <w:rsid w:val="00F30C64"/>
    <w:rsid w:val="00F31073"/>
    <w:rsid w:val="00F312F7"/>
    <w:rsid w:val="00F316ED"/>
    <w:rsid w:val="00F31D14"/>
    <w:rsid w:val="00F32A3F"/>
    <w:rsid w:val="00F3348D"/>
    <w:rsid w:val="00F33670"/>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3E6B"/>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3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2EF8"/>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0FAD"/>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424"/>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4B2"/>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F7C12"/>
    <w:rsid w:val="03534727"/>
    <w:rsid w:val="04A610B0"/>
    <w:rsid w:val="060E13F2"/>
    <w:rsid w:val="062270B6"/>
    <w:rsid w:val="066C1A01"/>
    <w:rsid w:val="088460CD"/>
    <w:rsid w:val="09D77275"/>
    <w:rsid w:val="0CBB102F"/>
    <w:rsid w:val="0D6C7CA2"/>
    <w:rsid w:val="0DAC3806"/>
    <w:rsid w:val="0DC177B4"/>
    <w:rsid w:val="0E223C28"/>
    <w:rsid w:val="0F8364A5"/>
    <w:rsid w:val="0F9567C8"/>
    <w:rsid w:val="11AE653A"/>
    <w:rsid w:val="12937600"/>
    <w:rsid w:val="13BE7457"/>
    <w:rsid w:val="144155F7"/>
    <w:rsid w:val="154702AC"/>
    <w:rsid w:val="170C4D64"/>
    <w:rsid w:val="176665A4"/>
    <w:rsid w:val="177E3E97"/>
    <w:rsid w:val="1793545C"/>
    <w:rsid w:val="19594F09"/>
    <w:rsid w:val="199D1C93"/>
    <w:rsid w:val="19A35605"/>
    <w:rsid w:val="19CF0A45"/>
    <w:rsid w:val="1A5C098F"/>
    <w:rsid w:val="1AA06D8A"/>
    <w:rsid w:val="1C19530B"/>
    <w:rsid w:val="1F857028"/>
    <w:rsid w:val="20A21196"/>
    <w:rsid w:val="2281556D"/>
    <w:rsid w:val="22A250E3"/>
    <w:rsid w:val="234C632A"/>
    <w:rsid w:val="23DF526E"/>
    <w:rsid w:val="24077ADF"/>
    <w:rsid w:val="24BC44E6"/>
    <w:rsid w:val="261514F0"/>
    <w:rsid w:val="263C6C0A"/>
    <w:rsid w:val="26AF6610"/>
    <w:rsid w:val="28BC0A80"/>
    <w:rsid w:val="2CD91A96"/>
    <w:rsid w:val="2D39656F"/>
    <w:rsid w:val="3054789A"/>
    <w:rsid w:val="320E25E9"/>
    <w:rsid w:val="334A578A"/>
    <w:rsid w:val="33535CA0"/>
    <w:rsid w:val="391222E2"/>
    <w:rsid w:val="3AB24D5E"/>
    <w:rsid w:val="3BF54630"/>
    <w:rsid w:val="3DB50F39"/>
    <w:rsid w:val="3DDA5032"/>
    <w:rsid w:val="3E073A56"/>
    <w:rsid w:val="3E905C78"/>
    <w:rsid w:val="3EE65CBF"/>
    <w:rsid w:val="3F4C651A"/>
    <w:rsid w:val="43AE7DF9"/>
    <w:rsid w:val="44087194"/>
    <w:rsid w:val="458A047A"/>
    <w:rsid w:val="47700728"/>
    <w:rsid w:val="49A14359"/>
    <w:rsid w:val="4A2B180B"/>
    <w:rsid w:val="4BD61275"/>
    <w:rsid w:val="4BE05B04"/>
    <w:rsid w:val="4D5C5E14"/>
    <w:rsid w:val="4D8057B3"/>
    <w:rsid w:val="4D977D81"/>
    <w:rsid w:val="4F8B0CA6"/>
    <w:rsid w:val="4F9B6A6A"/>
    <w:rsid w:val="4FA05D35"/>
    <w:rsid w:val="501E5DB7"/>
    <w:rsid w:val="523B2100"/>
    <w:rsid w:val="52B65F05"/>
    <w:rsid w:val="52D62B6B"/>
    <w:rsid w:val="533C33C0"/>
    <w:rsid w:val="539F58A3"/>
    <w:rsid w:val="55304889"/>
    <w:rsid w:val="557150AA"/>
    <w:rsid w:val="56D57B46"/>
    <w:rsid w:val="570C191D"/>
    <w:rsid w:val="57666016"/>
    <w:rsid w:val="5A91371E"/>
    <w:rsid w:val="5BB85765"/>
    <w:rsid w:val="5DAB154C"/>
    <w:rsid w:val="614978F3"/>
    <w:rsid w:val="61663680"/>
    <w:rsid w:val="658A795B"/>
    <w:rsid w:val="666464DB"/>
    <w:rsid w:val="666E5D08"/>
    <w:rsid w:val="6689167E"/>
    <w:rsid w:val="66B02E4D"/>
    <w:rsid w:val="66CA4974"/>
    <w:rsid w:val="66CE0BA8"/>
    <w:rsid w:val="67A61BE0"/>
    <w:rsid w:val="681344C1"/>
    <w:rsid w:val="69851B9E"/>
    <w:rsid w:val="6BDA7BEC"/>
    <w:rsid w:val="6BF153CF"/>
    <w:rsid w:val="6CAB4B60"/>
    <w:rsid w:val="6F216B08"/>
    <w:rsid w:val="70AC0375"/>
    <w:rsid w:val="71B22AAF"/>
    <w:rsid w:val="7364366B"/>
    <w:rsid w:val="74A131D8"/>
    <w:rsid w:val="74B224D4"/>
    <w:rsid w:val="754622EF"/>
    <w:rsid w:val="75705FF2"/>
    <w:rsid w:val="758053D5"/>
    <w:rsid w:val="75B43573"/>
    <w:rsid w:val="776D005D"/>
    <w:rsid w:val="79C124FE"/>
    <w:rsid w:val="7A561418"/>
    <w:rsid w:val="7A587B3D"/>
    <w:rsid w:val="7A8823B1"/>
    <w:rsid w:val="7E394EC1"/>
    <w:rsid w:val="7EAA58D6"/>
    <w:rsid w:val="7EC73CBA"/>
    <w:rsid w:val="7F564839"/>
    <w:rsid w:val="7F64436C"/>
    <w:rsid w:val="7F692749"/>
    <w:rsid w:val="7F6E33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0"/>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0"/>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字符"/>
    <w:link w:val="3"/>
    <w:qFormat/>
    <w:uiPriority w:val="0"/>
    <w:rPr>
      <w:rFonts w:ascii="Courier New" w:hAnsi="Courier New" w:eastAsia="Courier New" w:cs="Times New Roman"/>
      <w:kern w:val="0"/>
      <w:sz w:val="32"/>
      <w:szCs w:val="20"/>
      <w:lang w:val="en-GB" w:eastAsia="en-US"/>
    </w:rPr>
  </w:style>
  <w:style w:type="character" w:customStyle="1" w:styleId="36">
    <w:name w:val="标题 3 字符"/>
    <w:link w:val="4"/>
    <w:qFormat/>
    <w:uiPriority w:val="0"/>
    <w:rPr>
      <w:rFonts w:ascii="Courier New" w:hAnsi="Courier New" w:eastAsia="Courier New" w:cs="Times New Roman"/>
      <w:kern w:val="0"/>
      <w:sz w:val="28"/>
      <w:szCs w:val="20"/>
      <w:lang w:val="en-GB" w:eastAsia="en-US"/>
    </w:rPr>
  </w:style>
  <w:style w:type="character" w:customStyle="1" w:styleId="37">
    <w:name w:val="标题 4 字符"/>
    <w:link w:val="5"/>
    <w:qFormat/>
    <w:uiPriority w:val="0"/>
    <w:rPr>
      <w:rFonts w:ascii="Courier New" w:hAnsi="Courier New" w:eastAsia="Courier New" w:cs="Times New Roman"/>
      <w:kern w:val="0"/>
      <w:szCs w:val="20"/>
      <w:lang w:val="en-GB" w:eastAsia="en-US"/>
    </w:rPr>
  </w:style>
  <w:style w:type="character" w:customStyle="1" w:styleId="38">
    <w:name w:val="标题 5 字符"/>
    <w:link w:val="6"/>
    <w:qFormat/>
    <w:uiPriority w:val="0"/>
    <w:rPr>
      <w:rFonts w:ascii="Courier New" w:hAnsi="Courier New" w:eastAsia="Courier New" w:cs="Times New Roman"/>
      <w:kern w:val="0"/>
      <w:sz w:val="22"/>
      <w:szCs w:val="20"/>
      <w:lang w:val="en-GB" w:eastAsia="en-US"/>
    </w:rPr>
  </w:style>
  <w:style w:type="character" w:customStyle="1" w:styleId="39">
    <w:name w:val="标题 7 字符"/>
    <w:link w:val="7"/>
    <w:qFormat/>
    <w:uiPriority w:val="0"/>
    <w:rPr>
      <w:rFonts w:ascii="Courier New" w:hAnsi="Courier New" w:eastAsia="Courier New" w:cs="Times New Roman"/>
      <w:kern w:val="0"/>
      <w:sz w:val="20"/>
      <w:szCs w:val="20"/>
      <w:lang w:val="en-GB" w:eastAsia="en-US"/>
    </w:rPr>
  </w:style>
  <w:style w:type="character" w:customStyle="1" w:styleId="40">
    <w:name w:val="标题 8 字符"/>
    <w:link w:val="8"/>
    <w:qFormat/>
    <w:uiPriority w:val="0"/>
    <w:rPr>
      <w:rFonts w:ascii="Courier New" w:hAnsi="Courier New" w:eastAsia="Courier New" w:cs="Times New Roman"/>
      <w:kern w:val="0"/>
      <w:sz w:val="36"/>
      <w:szCs w:val="20"/>
      <w:lang w:val="en-GB" w:eastAsia="en-US"/>
    </w:rPr>
  </w:style>
  <w:style w:type="character" w:customStyle="1" w:styleId="41">
    <w:name w:val="标题 9 字符"/>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4">
    <w:name w:val="题注 字符"/>
    <w:link w:val="10"/>
    <w:qFormat/>
    <w:uiPriority w:val="0"/>
    <w:rPr>
      <w:rFonts w:ascii="Courier New" w:hAnsi="Courier New"/>
      <w:b/>
      <w:kern w:val="20"/>
      <w:sz w:val="16"/>
      <w:lang w:eastAsia="en-US" w:bidi="ar-SA"/>
    </w:rPr>
  </w:style>
  <w:style w:type="character" w:customStyle="1" w:styleId="45">
    <w:name w:val="批注框文本 字符"/>
    <w:link w:val="13"/>
    <w:semiHidden/>
    <w:qFormat/>
    <w:uiPriority w:val="99"/>
    <w:rPr>
      <w:rFonts w:ascii="Cambria Math" w:eastAsia="Cambria Math"/>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0"/>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667</Words>
  <Characters>3804</Characters>
  <Lines>31</Lines>
  <Paragraphs>8</Paragraphs>
  <TotalTime>9</TotalTime>
  <ScaleCrop>false</ScaleCrop>
  <LinksUpToDate>false</LinksUpToDate>
  <CharactersWithSpaces>4463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2023-11-03T02:23:24Z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3CCB93EBDFBE4BB98007B2D12AC5B38D</vt:lpwstr>
  </property>
</Properties>
</file>